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bCs/>
          <w:sz w:val="32"/>
          <w:szCs w:val="32"/>
        </w:rPr>
        <w:t>1.检查单：</w:t>
      </w:r>
      <w:r>
        <w:rPr>
          <w:rFonts w:hint="eastAsia" w:ascii="仿宋_GB2312" w:hAnsi="仿宋_GB2312" w:eastAsia="仿宋_GB2312" w:cs="仿宋_GB2312"/>
          <w:sz w:val="32"/>
          <w:szCs w:val="32"/>
        </w:rPr>
        <w:t>北京市文化市场综合执法总队《</w:t>
      </w:r>
      <w:bookmarkStart w:id="0" w:name="_GoBack"/>
      <w:r>
        <w:rPr>
          <w:rFonts w:hint="eastAsia" w:ascii="仿宋_GB2312" w:hAnsi="仿宋_GB2312" w:eastAsia="仿宋_GB2312" w:cs="仿宋_GB2312"/>
          <w:sz w:val="32"/>
          <w:szCs w:val="32"/>
        </w:rPr>
        <w:t>各区长城检查单</w:t>
      </w:r>
      <w:bookmarkEnd w:id="0"/>
      <w:r>
        <w:rPr>
          <w:rFonts w:hint="eastAsia" w:ascii="仿宋_GB2312" w:hAnsi="仿宋_GB2312" w:eastAsia="仿宋_GB2312" w:cs="仿宋_GB2312"/>
          <w:sz w:val="32"/>
          <w:szCs w:val="32"/>
        </w:rPr>
        <w:t>》</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2.检查模块：</w:t>
      </w:r>
      <w:r>
        <w:rPr>
          <w:rFonts w:hint="eastAsia" w:ascii="仿宋_GB2312" w:hAnsi="仿宋_GB2312" w:eastAsia="仿宋_GB2312" w:cs="仿宋_GB2312"/>
          <w:sz w:val="32"/>
          <w:szCs w:val="32"/>
        </w:rPr>
        <w:t>长城现场情况</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3.检查项：</w:t>
      </w:r>
      <w:r>
        <w:rPr>
          <w:rFonts w:hint="eastAsia" w:ascii="仿宋_GB2312" w:hAnsi="仿宋_GB2312" w:eastAsia="仿宋_GB2312" w:cs="仿宋_GB2312"/>
          <w:sz w:val="32"/>
          <w:szCs w:val="32"/>
        </w:rPr>
        <w:t>是否存在在参观游览区接待游客超过旅游容量指标造成严重后果的行为</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4.检查内容：</w:t>
      </w:r>
      <w:r>
        <w:rPr>
          <w:rFonts w:hint="eastAsia" w:ascii="仿宋_GB2312" w:hAnsi="仿宋_GB2312" w:eastAsia="仿宋_GB2312" w:cs="仿宋_GB2312"/>
          <w:sz w:val="32"/>
          <w:szCs w:val="32"/>
        </w:rPr>
        <w:t>是否存在在参观游览区接待游客超过旅游容量指标造成严重后果的行为</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5.检查标准：</w:t>
      </w:r>
    </w:p>
    <w:p>
      <w:pPr>
        <w:spacing w:line="600" w:lineRule="exact"/>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rPr>
        <w:t>合格情形：</w:t>
      </w:r>
      <w:r>
        <w:rPr>
          <w:rFonts w:hint="eastAsia" w:ascii="仿宋_GB2312" w:hAnsi="仿宋_GB2312" w:eastAsia="仿宋_GB2312" w:cs="仿宋_GB2312"/>
          <w:sz w:val="32"/>
          <w:szCs w:val="32"/>
          <w:lang w:val="en-US" w:eastAsia="zh-CN"/>
        </w:rPr>
        <w:t>在参观游览区内举行活动，其人数未超过核定的旅游容量指标。</w:t>
      </w:r>
    </w:p>
    <w:p>
      <w:pPr>
        <w:spacing w:line="600" w:lineRule="exact"/>
        <w:ind w:firstLine="64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sz w:val="32"/>
          <w:szCs w:val="32"/>
        </w:rPr>
        <w:t>不合格情形：</w:t>
      </w:r>
      <w:r>
        <w:rPr>
          <w:rFonts w:hint="eastAsia" w:ascii="仿宋_GB2312" w:hAnsi="仿宋_GB2312" w:eastAsia="仿宋_GB2312" w:cs="仿宋_GB2312"/>
          <w:sz w:val="32"/>
          <w:szCs w:val="32"/>
          <w:lang w:val="en-US" w:eastAsia="zh-CN"/>
        </w:rPr>
        <w:t>在参观游览区内举行活动，其人数超过核定的旅游容量指标。</w:t>
      </w:r>
    </w:p>
    <w:p/>
    <w:p/>
    <w:p/>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77DFF"/>
    <w:rsid w:val="08E830E6"/>
    <w:rsid w:val="32472A23"/>
    <w:rsid w:val="3B2D0502"/>
    <w:rsid w:val="42677DFF"/>
    <w:rsid w:val="474C544E"/>
    <w:rsid w:val="656C5F4B"/>
    <w:rsid w:val="6B0E72F9"/>
    <w:rsid w:val="75E44E9B"/>
    <w:rsid w:val="782A66B1"/>
    <w:rsid w:val="7FF40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2021-09-10T01:49:00Z</dcterms:created>
  <dc:creator>侯东岳</dc:creator>
  <cp:lastModifiedBy>侯东岳</cp:lastModifiedBy>
  <dcterms:modified xsi:type="dcterms:W3CDTF">2021-09-10T01:50:38Z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087AF7477E9F47DDACD1ED87A0069586</vt:lpwstr>
  </property>
</Properties>
</file>